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Сбор заявок проходит на постоянной основе.</w:t>
      </w:r>
    </w:p>
    <w:p w:rsidR="0019015D" w:rsidRPr="0019015D" w:rsidRDefault="0019015D" w:rsidP="0019015D">
      <w:pPr>
        <w:shd w:val="clear" w:color="auto" w:fill="EFEEEB"/>
        <w:spacing w:before="100" w:beforeAutospacing="1" w:after="96" w:line="240" w:lineRule="auto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</w:pPr>
      <w:r w:rsidRPr="0019015D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Все желающие смогут воплотить свои идеи в жизнь вместе с «</w:t>
      </w:r>
      <w:proofErr w:type="spellStart"/>
      <w:r w:rsidRPr="0019015D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Иннопрактикой</w:t>
      </w:r>
      <w:proofErr w:type="spellEnd"/>
      <w:r w:rsidRPr="0019015D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»</w:t>
      </w:r>
    </w:p>
    <w:p w:rsidR="0019015D" w:rsidRPr="0019015D" w:rsidRDefault="0019015D" w:rsidP="0019015D">
      <w:pPr>
        <w:shd w:val="clear" w:color="auto" w:fill="EFEEEB"/>
        <w:spacing w:before="100" w:beforeAutospacing="1" w:after="96" w:line="240" w:lineRule="auto"/>
        <w:outlineLvl w:val="2"/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</w:pPr>
      <w:r w:rsidRPr="0019015D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ru-RU"/>
        </w:rPr>
        <w:t>Для этого необходимо предложить проекты развития, которые отвечают следующим требованиям:</w:t>
      </w:r>
    </w:p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Проект должен способствовать развитию национального человеческого капитала и оказывать положительное воздействие на инновационную цепочку страны. </w:t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Для проекта требуется наличие долгосрочного плана развития проекта, в котором обосновывается достижение позитивного эффекта для роста инновационной экономики России за счет его реализации. Желательно предложить измеримые количественные показатели, отражающие динамику успешной реализации предлагаемого некоммерческого проекта.</w:t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 xml:space="preserve">Проект является </w:t>
      </w:r>
      <w:proofErr w:type="spellStart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системообразующим</w:t>
      </w:r>
      <w:proofErr w:type="spellEnd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 xml:space="preserve"> и может быть реализован в масштабах страны. </w:t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Предполагаемые результаты проекта в перспективе должны иметь важное значение для максимального количества регионов России. Рассматриваются только те проекты, для которых увеличение масштаба не приводит к пропорциональному росту необходимых ресурсов. </w:t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 </w:t>
      </w:r>
    </w:p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Участникам рекомендуется предоставлять поэтапный план реализации проекта. Для первого года реализации проекта план должен быть оформлен поквартально, для среднесрочного периода (до 5 лет) – по годам. Для этапов необходимо сформулировать ожидаемые результаты в виде конкретных количественных показателей.</w:t>
      </w:r>
    </w:p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 </w:t>
      </w:r>
    </w:p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Проект имеет потенциальные источники финансирования, отличные от «</w:t>
      </w:r>
      <w:proofErr w:type="spellStart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Иннопрактики</w:t>
      </w:r>
      <w:proofErr w:type="spellEnd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», на которые он может быть переведен в среднесрочной перспективе (до 5 лет) после оказания стартовой поддержки. </w:t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</w: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br/>
        <w:t>Поддержка «</w:t>
      </w:r>
      <w:proofErr w:type="spellStart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Иннопрактики</w:t>
      </w:r>
      <w:proofErr w:type="spellEnd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 xml:space="preserve">» может привлекаться на этапе тестирования ключевых идей проекта, для реализации одного или серии </w:t>
      </w:r>
      <w:proofErr w:type="spellStart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пилотных</w:t>
      </w:r>
      <w:proofErr w:type="spellEnd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 xml:space="preserve"> проектов. Поэтому для предлагаемого проекта развития должны быть указаны потенциальные источники финансирования, отличные от «</w:t>
      </w:r>
      <w:proofErr w:type="spellStart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Иннопрактики</w:t>
      </w:r>
      <w:proofErr w:type="spellEnd"/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», на которые он будет переведен в среднесрочной перспективе (до 5 лет). Предоставление письменных подтверждений о договоренностях с партнерами рассматривается как преимущество.</w:t>
      </w:r>
    </w:p>
    <w:p w:rsidR="0019015D" w:rsidRPr="0019015D" w:rsidRDefault="0019015D" w:rsidP="0019015D">
      <w:pPr>
        <w:shd w:val="clear" w:color="auto" w:fill="EFEEEB"/>
        <w:spacing w:before="96" w:after="192" w:line="240" w:lineRule="auto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19015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 </w:t>
      </w:r>
    </w:p>
    <w:p w:rsidR="008E5B23" w:rsidRDefault="0019015D"/>
    <w:sectPr w:rsidR="008E5B23" w:rsidSect="00C8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015D"/>
    <w:rsid w:val="0019015D"/>
    <w:rsid w:val="0071558A"/>
    <w:rsid w:val="00C827E6"/>
    <w:rsid w:val="00C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6"/>
  </w:style>
  <w:style w:type="paragraph" w:styleId="3">
    <w:name w:val="heading 3"/>
    <w:basedOn w:val="a"/>
    <w:link w:val="30"/>
    <w:uiPriority w:val="9"/>
    <w:qFormat/>
    <w:rsid w:val="001901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01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2019-10-24T07:46:00Z</dcterms:created>
  <dcterms:modified xsi:type="dcterms:W3CDTF">2019-10-24T07:46:00Z</dcterms:modified>
</cp:coreProperties>
</file>